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1"/>
        <w:gridCol w:w="1449"/>
        <w:gridCol w:w="1449"/>
        <w:gridCol w:w="1449"/>
        <w:gridCol w:w="3748"/>
      </w:tblGrid>
      <w:tr w:rsidR="00274B02" w:rsidRPr="00274B02" w:rsidTr="00274B02">
        <w:tc>
          <w:tcPr>
            <w:tcW w:w="1500" w:type="pct"/>
            <w:shd w:val="clear" w:color="auto" w:fill="48E6B5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>ункции</w:t>
            </w:r>
            <w:proofErr w:type="spellEnd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 и элементы системы </w:t>
            </w:r>
            <w:proofErr w:type="spellStart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>Common</w:t>
            </w:r>
            <w:proofErr w:type="spellEnd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>Rail</w:t>
            </w:r>
            <w:proofErr w:type="spellEnd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>проверямые</w:t>
            </w:r>
            <w:proofErr w:type="spellEnd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 комплектами</w:t>
            </w:r>
          </w:p>
        </w:tc>
        <w:tc>
          <w:tcPr>
            <w:tcW w:w="500" w:type="pct"/>
            <w:shd w:val="clear" w:color="auto" w:fill="48E6B5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</w:pPr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  <w:t>CR150</w:t>
            </w:r>
          </w:p>
        </w:tc>
        <w:tc>
          <w:tcPr>
            <w:tcW w:w="500" w:type="pct"/>
            <w:shd w:val="clear" w:color="auto" w:fill="48E6B5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</w:pPr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  <w:t>CR350</w:t>
            </w:r>
          </w:p>
        </w:tc>
        <w:tc>
          <w:tcPr>
            <w:tcW w:w="500" w:type="pct"/>
            <w:shd w:val="clear" w:color="auto" w:fill="48E6B5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</w:pPr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39"/>
                <w:szCs w:val="39"/>
              </w:rPr>
              <w:t>CR550</w:t>
            </w:r>
          </w:p>
        </w:tc>
        <w:tc>
          <w:tcPr>
            <w:tcW w:w="2000" w:type="pct"/>
            <w:shd w:val="clear" w:color="auto" w:fill="48E6B5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</w:pPr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Симптомы </w:t>
            </w:r>
            <w:proofErr w:type="gramStart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>неисправностей</w:t>
            </w:r>
            <w:proofErr w:type="gramEnd"/>
            <w:r w:rsidRPr="00274B02">
              <w:rPr>
                <w:rFonts w:ascii="Exo2Bold" w:eastAsia="Times New Roman" w:hAnsi="Exo2Bold" w:cs="Arial"/>
                <w:b/>
                <w:bCs/>
                <w:color w:val="FFFFFF"/>
                <w:sz w:val="24"/>
                <w:szCs w:val="24"/>
              </w:rPr>
              <w:t xml:space="preserve"> при которых проводится данная проверка</w:t>
            </w:r>
          </w:p>
        </w:tc>
      </w:tr>
      <w:tr w:rsidR="00274B02" w:rsidRPr="00274B02" w:rsidTr="00274B02"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подкачивающего контура с вакуумным топливным насосом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заводится и сразу глохнет,  трудный запуск после ночной стоянки, ошибка мониторинга давления топлива в рампе, белый дым, дизельный стук.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Проверка подкачивающего контура с электрическим </w:t>
            </w:r>
            <w:proofErr w:type="spellStart"/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погружным</w:t>
            </w:r>
            <w:proofErr w:type="spellEnd"/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топливным насосом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 заводится и сразу глохнет,  трудный запуск после ночной стоянки, ошибка мониторинга давления топлива в рампе, белый дым, дизельный стук.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Проверка форсунок по объему обратного слива (не подходит для </w:t>
            </w:r>
            <w:proofErr w:type="spellStart"/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пьезо-форсунок</w:t>
            </w:r>
            <w:proofErr w:type="spellEnd"/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 заводится и сразу глохнет,  трудный запуск после ночной стоянки, ошибка мониторинга давления топлива в рампе, белый дым, Черный дым, дизельный стук, неравномерная работа на ХХ.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форсунок методом отключения от рампы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вибрации на ХХ.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ТНВД на максимальное развиваемое давление "в тупик"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 заводится и сразу глохнет,  трудный запуск после ночной стоянки, ошибка мониторинга давления топлива в рампе, белый дым, дизельный стук.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регулятора давления на ТНВД на линейность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Ошибка мониторинга давления топлива в рампе, особенно на переходных режимах работы ДВС.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регулятора давления на рампе на герметичность и линейность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Ошибка мониторинга давления топлива в рампе, особенно на переходных режимах работы ДВС.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датчика давления на рампе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Ошибки мониторинга давления в рампе, дизельный стук, белый дым.</w:t>
            </w:r>
          </w:p>
        </w:tc>
      </w:tr>
      <w:tr w:rsidR="00274B02" w:rsidRPr="00274B02" w:rsidTr="00274B02"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Проверка форсунок по объему впрыска в цилиндр и по форме факела распыла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ECF4F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долгий запуск, вибрации на ХХ, белый дым</w:t>
            </w:r>
          </w:p>
        </w:tc>
      </w:tr>
      <w:tr w:rsidR="00274B02" w:rsidRPr="00274B02" w:rsidTr="00274B02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Измерение компрессии двигателя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4B02" w:rsidRPr="00274B02" w:rsidRDefault="00274B02" w:rsidP="00274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74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запуска, вибрации на ХХ, белый дым.</w:t>
            </w:r>
          </w:p>
        </w:tc>
      </w:tr>
    </w:tbl>
    <w:p w:rsidR="00994DAB" w:rsidRPr="00274B02" w:rsidRDefault="00274B02" w:rsidP="00274B02">
      <w:r>
        <w:t xml:space="preserve">                                                       19900,00              39900,00               89900,00</w:t>
      </w:r>
    </w:p>
    <w:sectPr w:rsidR="00994DAB" w:rsidRPr="00274B02" w:rsidSect="00C3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2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D75"/>
    <w:rsid w:val="001C0D75"/>
    <w:rsid w:val="00274B02"/>
    <w:rsid w:val="003671B1"/>
    <w:rsid w:val="003F09DF"/>
    <w:rsid w:val="00994DAB"/>
    <w:rsid w:val="00B53381"/>
    <w:rsid w:val="00BD42AF"/>
    <w:rsid w:val="00C3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C0D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C0D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C0D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1C0D75"/>
    <w:pPr>
      <w:jc w:val="center"/>
    </w:pPr>
    <w:rPr>
      <w:rFonts w:ascii="Arial" w:hAnsi="Arial"/>
      <w:sz w:val="20"/>
    </w:rPr>
  </w:style>
  <w:style w:type="paragraph" w:customStyle="1" w:styleId="1CStyle30">
    <w:name w:val="1CStyle30"/>
    <w:rsid w:val="001C0D75"/>
    <w:pPr>
      <w:jc w:val="center"/>
    </w:pPr>
    <w:rPr>
      <w:rFonts w:ascii="Arial" w:hAnsi="Arial"/>
      <w:sz w:val="18"/>
    </w:rPr>
  </w:style>
  <w:style w:type="paragraph" w:customStyle="1" w:styleId="1CStyle29">
    <w:name w:val="1CStyle29"/>
    <w:rsid w:val="001C0D75"/>
    <w:pPr>
      <w:jc w:val="center"/>
    </w:pPr>
    <w:rPr>
      <w:rFonts w:ascii="Arial" w:hAnsi="Arial"/>
      <w:sz w:val="18"/>
    </w:rPr>
  </w:style>
  <w:style w:type="paragraph" w:customStyle="1" w:styleId="1CStyle32">
    <w:name w:val="1CStyle32"/>
    <w:rsid w:val="001C0D75"/>
    <w:pPr>
      <w:jc w:val="center"/>
    </w:pPr>
    <w:rPr>
      <w:rFonts w:ascii="Arial" w:hAnsi="Arial"/>
      <w:sz w:val="18"/>
    </w:rPr>
  </w:style>
  <w:style w:type="paragraph" w:customStyle="1" w:styleId="1CStyle6">
    <w:name w:val="1CStyle6"/>
    <w:rsid w:val="001C0D75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rsid w:val="001C0D75"/>
    <w:rPr>
      <w:rFonts w:ascii="Arial" w:hAnsi="Arial"/>
      <w:sz w:val="20"/>
    </w:rPr>
  </w:style>
  <w:style w:type="paragraph" w:customStyle="1" w:styleId="1CStyle28">
    <w:name w:val="1CStyle28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33">
    <w:name w:val="1CStyle33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10">
    <w:name w:val="1CStyle10"/>
    <w:rsid w:val="001C0D75"/>
    <w:pPr>
      <w:jc w:val="center"/>
    </w:pPr>
    <w:rPr>
      <w:rFonts w:ascii="Arial" w:hAnsi="Arial"/>
      <w:sz w:val="18"/>
    </w:rPr>
  </w:style>
  <w:style w:type="paragraph" w:customStyle="1" w:styleId="1CStyle27">
    <w:name w:val="1CStyle27"/>
    <w:rsid w:val="001C0D75"/>
    <w:pPr>
      <w:jc w:val="center"/>
    </w:pPr>
    <w:rPr>
      <w:rFonts w:ascii="Arial" w:hAnsi="Arial"/>
      <w:b/>
      <w:sz w:val="18"/>
    </w:rPr>
  </w:style>
  <w:style w:type="paragraph" w:customStyle="1" w:styleId="1CStyle25">
    <w:name w:val="1CStyle25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3">
    <w:name w:val="1CStyle3"/>
    <w:rsid w:val="001C0D75"/>
    <w:pPr>
      <w:jc w:val="center"/>
    </w:pPr>
    <w:rPr>
      <w:rFonts w:ascii="Arial" w:hAnsi="Arial"/>
      <w:sz w:val="20"/>
    </w:rPr>
  </w:style>
  <w:style w:type="paragraph" w:customStyle="1" w:styleId="1CStyle7">
    <w:name w:val="1CStyle7"/>
    <w:rsid w:val="001C0D75"/>
    <w:pPr>
      <w:jc w:val="center"/>
    </w:pPr>
    <w:rPr>
      <w:rFonts w:ascii="Arial" w:hAnsi="Arial"/>
      <w:sz w:val="20"/>
    </w:rPr>
  </w:style>
  <w:style w:type="paragraph" w:customStyle="1" w:styleId="1CStyle5">
    <w:name w:val="1CStyle5"/>
    <w:rsid w:val="001C0D75"/>
    <w:pPr>
      <w:jc w:val="center"/>
    </w:pPr>
    <w:rPr>
      <w:rFonts w:ascii="Arial" w:hAnsi="Arial"/>
      <w:sz w:val="20"/>
    </w:rPr>
  </w:style>
  <w:style w:type="paragraph" w:customStyle="1" w:styleId="1CStyle8">
    <w:name w:val="1CStyle8"/>
    <w:rsid w:val="001C0D75"/>
    <w:pPr>
      <w:jc w:val="center"/>
    </w:pPr>
    <w:rPr>
      <w:rFonts w:ascii="Arial" w:hAnsi="Arial"/>
      <w:sz w:val="20"/>
    </w:rPr>
  </w:style>
  <w:style w:type="paragraph" w:customStyle="1" w:styleId="1CStyle4">
    <w:name w:val="1CStyle4"/>
    <w:rsid w:val="001C0D75"/>
    <w:pPr>
      <w:jc w:val="center"/>
    </w:pPr>
    <w:rPr>
      <w:rFonts w:ascii="Arial" w:hAnsi="Arial"/>
      <w:sz w:val="20"/>
    </w:rPr>
  </w:style>
  <w:style w:type="paragraph" w:customStyle="1" w:styleId="1CStyle2">
    <w:name w:val="1CStyle2"/>
    <w:rsid w:val="001C0D75"/>
    <w:pPr>
      <w:jc w:val="center"/>
    </w:pPr>
    <w:rPr>
      <w:rFonts w:ascii="Arial" w:hAnsi="Arial"/>
      <w:sz w:val="20"/>
    </w:rPr>
  </w:style>
  <w:style w:type="paragraph" w:customStyle="1" w:styleId="1CStyle9">
    <w:name w:val="1CStyle9"/>
    <w:rsid w:val="001C0D75"/>
    <w:pPr>
      <w:jc w:val="center"/>
    </w:pPr>
    <w:rPr>
      <w:rFonts w:ascii="Arial" w:hAnsi="Arial"/>
      <w:b/>
      <w:sz w:val="28"/>
    </w:rPr>
  </w:style>
  <w:style w:type="paragraph" w:customStyle="1" w:styleId="1CStyle31">
    <w:name w:val="1CStyle31"/>
    <w:rsid w:val="001C0D75"/>
    <w:pPr>
      <w:jc w:val="center"/>
    </w:pPr>
  </w:style>
  <w:style w:type="paragraph" w:customStyle="1" w:styleId="1CStyle23">
    <w:name w:val="1CStyle23"/>
    <w:rsid w:val="001C0D75"/>
    <w:pPr>
      <w:jc w:val="right"/>
    </w:pPr>
    <w:rPr>
      <w:rFonts w:ascii="Arial" w:hAnsi="Arial"/>
      <w:b/>
      <w:sz w:val="20"/>
    </w:rPr>
  </w:style>
  <w:style w:type="paragraph" w:customStyle="1" w:styleId="1CStyle34">
    <w:name w:val="1CStyle34"/>
    <w:rsid w:val="001C0D75"/>
    <w:pPr>
      <w:jc w:val="right"/>
    </w:pPr>
  </w:style>
  <w:style w:type="paragraph" w:customStyle="1" w:styleId="1CStyle18">
    <w:name w:val="1CStyle18"/>
    <w:rsid w:val="001C0D75"/>
    <w:pPr>
      <w:jc w:val="right"/>
    </w:pPr>
  </w:style>
  <w:style w:type="paragraph" w:customStyle="1" w:styleId="1CStyle16">
    <w:name w:val="1CStyle16"/>
    <w:rsid w:val="001C0D75"/>
    <w:pPr>
      <w:jc w:val="center"/>
    </w:pPr>
  </w:style>
  <w:style w:type="paragraph" w:customStyle="1" w:styleId="1CStyle14">
    <w:name w:val="1CStyle14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15">
    <w:name w:val="1CStyle15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13">
    <w:name w:val="1CStyle13"/>
    <w:rsid w:val="001C0D75"/>
    <w:pPr>
      <w:jc w:val="center"/>
    </w:pPr>
    <w:rPr>
      <w:rFonts w:ascii="Arial" w:hAnsi="Arial"/>
      <w:b/>
      <w:sz w:val="20"/>
    </w:rPr>
  </w:style>
  <w:style w:type="paragraph" w:customStyle="1" w:styleId="1CStyle-1">
    <w:name w:val="1CStyle-1"/>
    <w:rsid w:val="001C0D75"/>
    <w:pPr>
      <w:jc w:val="center"/>
    </w:pPr>
  </w:style>
  <w:style w:type="paragraph" w:customStyle="1" w:styleId="1CStyle21">
    <w:name w:val="1CStyle21"/>
    <w:rsid w:val="001C0D75"/>
    <w:pPr>
      <w:jc w:val="right"/>
    </w:pPr>
    <w:rPr>
      <w:rFonts w:ascii="Arial" w:hAnsi="Arial"/>
      <w:b/>
      <w:sz w:val="20"/>
    </w:rPr>
  </w:style>
  <w:style w:type="paragraph" w:customStyle="1" w:styleId="1CStyle11">
    <w:name w:val="1CStyle11"/>
    <w:rsid w:val="001C0D75"/>
    <w:pPr>
      <w:jc w:val="center"/>
    </w:pPr>
    <w:rPr>
      <w:rFonts w:ascii="Arial" w:hAnsi="Arial"/>
      <w:b/>
      <w:sz w:val="18"/>
    </w:rPr>
  </w:style>
  <w:style w:type="paragraph" w:customStyle="1" w:styleId="1CStyle1">
    <w:name w:val="1CStyle1"/>
    <w:rsid w:val="001C0D75"/>
    <w:pPr>
      <w:jc w:val="center"/>
    </w:pPr>
    <w:rPr>
      <w:rFonts w:ascii="Arial" w:hAnsi="Arial"/>
      <w:sz w:val="20"/>
    </w:rPr>
  </w:style>
  <w:style w:type="paragraph" w:customStyle="1" w:styleId="1CStyle17">
    <w:name w:val="1CStyle17"/>
    <w:rsid w:val="001C0D75"/>
    <w:pPr>
      <w:jc w:val="center"/>
    </w:pPr>
  </w:style>
  <w:style w:type="paragraph" w:customStyle="1" w:styleId="1CStyle12">
    <w:name w:val="1CStyle12"/>
    <w:rsid w:val="001C0D75"/>
    <w:pPr>
      <w:jc w:val="center"/>
    </w:pPr>
    <w:rPr>
      <w:rFonts w:ascii="Arial" w:hAnsi="Arial"/>
      <w:sz w:val="18"/>
    </w:rPr>
  </w:style>
  <w:style w:type="paragraph" w:customStyle="1" w:styleId="1CStyle24">
    <w:name w:val="1CStyle24"/>
    <w:rsid w:val="001C0D75"/>
    <w:pPr>
      <w:jc w:val="right"/>
    </w:pPr>
    <w:rPr>
      <w:rFonts w:ascii="Arial" w:hAnsi="Arial"/>
      <w:b/>
      <w:sz w:val="20"/>
    </w:rPr>
  </w:style>
  <w:style w:type="paragraph" w:customStyle="1" w:styleId="1CStyle19">
    <w:name w:val="1CStyle19"/>
    <w:rsid w:val="001C0D75"/>
    <w:pPr>
      <w:jc w:val="right"/>
    </w:pPr>
  </w:style>
  <w:style w:type="paragraph" w:customStyle="1" w:styleId="1CStyle20">
    <w:name w:val="1CStyle20"/>
    <w:rsid w:val="001C0D75"/>
    <w:pPr>
      <w:jc w:val="right"/>
    </w:pPr>
  </w:style>
  <w:style w:type="paragraph" w:customStyle="1" w:styleId="1CStyle22">
    <w:name w:val="1CStyle22"/>
    <w:rsid w:val="001C0D75"/>
    <w:pPr>
      <w:jc w:val="right"/>
    </w:pPr>
    <w:rPr>
      <w:rFonts w:ascii="Arial" w:hAnsi="Arial"/>
      <w:b/>
      <w:sz w:val="20"/>
    </w:rPr>
  </w:style>
  <w:style w:type="paragraph" w:styleId="a3">
    <w:name w:val="List Paragraph"/>
    <w:basedOn w:val="a"/>
    <w:uiPriority w:val="34"/>
    <w:qFormat/>
    <w:rsid w:val="00C35388"/>
    <w:pPr>
      <w:ind w:left="720"/>
      <w:contextualSpacing/>
    </w:pPr>
  </w:style>
  <w:style w:type="paragraph" w:styleId="a4">
    <w:name w:val="No Spacing"/>
    <w:uiPriority w:val="1"/>
    <w:qFormat/>
    <w:rsid w:val="00BD4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AVG2</dc:creator>
  <cp:lastModifiedBy>AVG2</cp:lastModifiedBy>
  <cp:revision>2</cp:revision>
  <cp:lastPrinted>2017-03-20T06:42:00Z</cp:lastPrinted>
  <dcterms:created xsi:type="dcterms:W3CDTF">2017-08-10T09:57:00Z</dcterms:created>
  <dcterms:modified xsi:type="dcterms:W3CDTF">2017-08-10T09:57:00Z</dcterms:modified>
</cp:coreProperties>
</file>